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AA" w:rsidRPr="00337547" w:rsidRDefault="00355590" w:rsidP="00337547">
      <w:pPr>
        <w:pStyle w:val="1"/>
        <w:numPr>
          <w:ilvl w:val="0"/>
          <w:numId w:val="0"/>
        </w:numPr>
        <w:spacing w:line="240" w:lineRule="atLeast"/>
        <w:ind w:left="431"/>
        <w:rPr>
          <w:b w:val="0"/>
          <w:sz w:val="28"/>
          <w:szCs w:val="28"/>
        </w:rPr>
      </w:pPr>
      <w:r w:rsidRPr="00337547">
        <w:rPr>
          <w:rFonts w:hint="eastAsia"/>
          <w:b w:val="0"/>
          <w:sz w:val="28"/>
          <w:szCs w:val="28"/>
        </w:rPr>
        <w:t>Y</w:t>
      </w:r>
      <w:r w:rsidR="00941BF8" w:rsidRPr="00337547">
        <w:rPr>
          <w:rFonts w:hint="eastAsia"/>
          <w:b w:val="0"/>
          <w:sz w:val="28"/>
          <w:szCs w:val="28"/>
        </w:rPr>
        <w:t>. YANG module for Ethernet Interface</w:t>
      </w:r>
    </w:p>
    <w:p w:rsidR="00170C5A" w:rsidRPr="00415EFA" w:rsidRDefault="00170C5A" w:rsidP="00170C5A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415EFA">
        <w:rPr>
          <w:rFonts w:hint="eastAsia"/>
          <w:b/>
        </w:rPr>
        <w:t>Introduction</w:t>
      </w:r>
    </w:p>
    <w:p w:rsidR="00170C5A" w:rsidRDefault="00170C5A" w:rsidP="00170C5A">
      <w:pPr>
        <w:spacing w:line="240" w:lineRule="auto"/>
        <w:jc w:val="both"/>
      </w:pPr>
      <w:r>
        <w:rPr>
          <w:rFonts w:hint="eastAsia"/>
        </w:rPr>
        <w:t xml:space="preserve">This clause defines </w:t>
      </w:r>
      <w:r w:rsidR="00D33D91">
        <w:rPr>
          <w:rFonts w:hint="eastAsia"/>
        </w:rPr>
        <w:t xml:space="preserve">two </w:t>
      </w:r>
      <w:r>
        <w:rPr>
          <w:rFonts w:hint="eastAsia"/>
        </w:rPr>
        <w:t>YANG module</w:t>
      </w:r>
      <w:r w:rsidR="00D33D91">
        <w:rPr>
          <w:rFonts w:hint="eastAsia"/>
        </w:rPr>
        <w:t>s</w:t>
      </w:r>
      <w:r>
        <w:rPr>
          <w:rFonts w:hint="eastAsia"/>
        </w:rPr>
        <w:t xml:space="preserve"> </w:t>
      </w:r>
      <w:r w:rsidR="003435D4">
        <w:rPr>
          <w:rFonts w:hint="eastAsia"/>
        </w:rPr>
        <w:t>for configuring Ethernet interfaces</w:t>
      </w:r>
      <w:r>
        <w:rPr>
          <w:rFonts w:hint="eastAsia"/>
        </w:rPr>
        <w:t>.</w:t>
      </w:r>
    </w:p>
    <w:p w:rsidR="00170C5A" w:rsidRDefault="00170C5A" w:rsidP="00170C5A">
      <w:pPr>
        <w:spacing w:line="240" w:lineRule="auto"/>
        <w:jc w:val="both"/>
      </w:pPr>
    </w:p>
    <w:p w:rsidR="00170C5A" w:rsidRDefault="00170C5A" w:rsidP="00170C5A">
      <w:pPr>
        <w:spacing w:line="240" w:lineRule="auto"/>
        <w:jc w:val="both"/>
      </w:pPr>
    </w:p>
    <w:p w:rsidR="00170C5A" w:rsidRDefault="00170C5A" w:rsidP="00170C5A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F839B8">
        <w:rPr>
          <w:rFonts w:hint="eastAsia"/>
          <w:b/>
        </w:rPr>
        <w:t>Module structure</w:t>
      </w:r>
    </w:p>
    <w:p w:rsidR="00170C5A" w:rsidRDefault="00D020BD" w:rsidP="00D020BD">
      <w:pPr>
        <w:spacing w:line="240" w:lineRule="auto"/>
        <w:jc w:val="both"/>
      </w:pPr>
      <w:r>
        <w:rPr>
          <w:rFonts w:hint="eastAsia"/>
        </w:rPr>
        <w:t xml:space="preserve">Two modules are defined in this clause focused on the configuration and monitoring </w:t>
      </w:r>
      <w:r w:rsidR="00504CB5">
        <w:t xml:space="preserve">of </w:t>
      </w:r>
      <w:r>
        <w:rPr>
          <w:rFonts w:hint="eastAsia"/>
        </w:rPr>
        <w:t xml:space="preserve">IEEE </w:t>
      </w:r>
      <w:proofErr w:type="gramStart"/>
      <w:r w:rsidR="00504CB5">
        <w:t>Std</w:t>
      </w:r>
      <w:proofErr w:type="gramEnd"/>
      <w:r w:rsidR="00504CB5">
        <w:t xml:space="preserve"> </w:t>
      </w:r>
      <w:r>
        <w:rPr>
          <w:rFonts w:hint="eastAsia"/>
        </w:rPr>
        <w:t xml:space="preserve">802.3 Ethernet </w:t>
      </w:r>
      <w:r>
        <w:t>interfaces</w:t>
      </w:r>
      <w:r>
        <w:rPr>
          <w:rFonts w:hint="eastAsia"/>
        </w:rPr>
        <w:t xml:space="preserve">. The </w:t>
      </w:r>
      <w:r w:rsidR="00D2679C" w:rsidRPr="00D2679C">
        <w:rPr>
          <w:i/>
        </w:rPr>
        <w:t>ieee802-ethernet-interface</w:t>
      </w:r>
      <w:r>
        <w:rPr>
          <w:rFonts w:hint="eastAsia"/>
        </w:rPr>
        <w:t xml:space="preserve"> </w:t>
      </w:r>
      <w:r w:rsidR="00504CB5">
        <w:t xml:space="preserve">YANG </w:t>
      </w:r>
      <w:r>
        <w:rPr>
          <w:rFonts w:hint="eastAsia"/>
        </w:rPr>
        <w:t xml:space="preserve">module contains </w:t>
      </w:r>
      <w:r w:rsidR="00504CB5">
        <w:t xml:space="preserve">definitions of current </w:t>
      </w:r>
      <w:r>
        <w:t xml:space="preserve">attributes used </w:t>
      </w:r>
      <w:r w:rsidR="00504CB5">
        <w:t>widely in the industry</w:t>
      </w:r>
      <w:r w:rsidR="003A31F7">
        <w:rPr>
          <w:rFonts w:hint="eastAsia"/>
        </w:rPr>
        <w:t xml:space="preserve"> </w:t>
      </w:r>
      <w:r w:rsidR="00504CB5">
        <w:t>in current products</w:t>
      </w:r>
      <w:r>
        <w:t xml:space="preserve">, while </w:t>
      </w:r>
      <w:r>
        <w:rPr>
          <w:rFonts w:hint="eastAsia"/>
        </w:rPr>
        <w:t xml:space="preserve">the </w:t>
      </w:r>
      <w:r w:rsidR="00D2679C" w:rsidRPr="00D2679C">
        <w:rPr>
          <w:i/>
        </w:rPr>
        <w:t>ieee802-ethernet-interface-legacy</w:t>
      </w:r>
      <w:r>
        <w:rPr>
          <w:rFonts w:hint="eastAsia"/>
        </w:rPr>
        <w:t xml:space="preserve"> </w:t>
      </w:r>
      <w:r w:rsidR="00504CB5">
        <w:t xml:space="preserve">YANG </w:t>
      </w:r>
      <w:r>
        <w:rPr>
          <w:rFonts w:hint="eastAsia"/>
        </w:rPr>
        <w:t xml:space="preserve">module contains </w:t>
      </w:r>
      <w:r w:rsidR="00504CB5">
        <w:t xml:space="preserve">definitions of legacy </w:t>
      </w:r>
      <w:r>
        <w:t>attributes</w:t>
      </w:r>
      <w:r w:rsidR="00504CB5">
        <w:t>,</w:t>
      </w:r>
      <w:r>
        <w:t xml:space="preserve"> no longer widely used in the industry. The </w:t>
      </w:r>
      <w:r w:rsidR="00504CB5">
        <w:t xml:space="preserve">legacy attributes </w:t>
      </w:r>
      <w:r>
        <w:t>are maintained for</w:t>
      </w:r>
      <w:r>
        <w:rPr>
          <w:rFonts w:hint="eastAsia"/>
        </w:rPr>
        <w:t xml:space="preserve"> </w:t>
      </w:r>
      <w:r>
        <w:t>backwards compatibility purposes.</w:t>
      </w:r>
    </w:p>
    <w:p w:rsidR="00B175A0" w:rsidRDefault="00B175A0" w:rsidP="00D020BD">
      <w:pPr>
        <w:spacing w:line="240" w:lineRule="auto"/>
        <w:jc w:val="both"/>
      </w:pPr>
    </w:p>
    <w:p w:rsidR="00B175A0" w:rsidRPr="00D020BD" w:rsidRDefault="00B175A0" w:rsidP="00D020BD">
      <w:pPr>
        <w:spacing w:line="240" w:lineRule="auto"/>
        <w:jc w:val="both"/>
      </w:pPr>
    </w:p>
    <w:p w:rsidR="00170C5A" w:rsidRPr="006A2177" w:rsidRDefault="00170C5A" w:rsidP="00170C5A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6A2177">
        <w:rPr>
          <w:rFonts w:hint="eastAsia"/>
          <w:b/>
        </w:rPr>
        <w:t xml:space="preserve">Mapping of IEEE </w:t>
      </w:r>
      <w:proofErr w:type="gramStart"/>
      <w:r w:rsidR="00504CB5">
        <w:rPr>
          <w:b/>
        </w:rPr>
        <w:t>Std</w:t>
      </w:r>
      <w:proofErr w:type="gramEnd"/>
      <w:r w:rsidR="00504CB5">
        <w:rPr>
          <w:b/>
        </w:rPr>
        <w:t xml:space="preserve"> </w:t>
      </w:r>
      <w:r w:rsidRPr="006A2177">
        <w:rPr>
          <w:rFonts w:hint="eastAsia"/>
          <w:b/>
        </w:rPr>
        <w:t xml:space="preserve">802.3 </w:t>
      </w:r>
      <w:r w:rsidR="00504CB5">
        <w:rPr>
          <w:b/>
        </w:rPr>
        <w:t xml:space="preserve">Clause 30 </w:t>
      </w:r>
      <w:r w:rsidRPr="006A2177">
        <w:rPr>
          <w:rFonts w:hint="eastAsia"/>
          <w:b/>
        </w:rPr>
        <w:t>managed objects</w:t>
      </w:r>
    </w:p>
    <w:p w:rsidR="00170C5A" w:rsidRDefault="00170C5A" w:rsidP="00170C5A">
      <w:pPr>
        <w:spacing w:line="240" w:lineRule="auto"/>
        <w:jc w:val="both"/>
      </w:pPr>
      <w:r>
        <w:rPr>
          <w:rFonts w:hint="eastAsia"/>
        </w:rPr>
        <w:t xml:space="preserve">This </w:t>
      </w:r>
      <w:r w:rsidR="00504CB5">
        <w:t>sub-</w:t>
      </w:r>
      <w:r w:rsidR="004B3A60">
        <w:t>clause</w:t>
      </w:r>
      <w:r>
        <w:rPr>
          <w:rFonts w:hint="eastAsia"/>
        </w:rPr>
        <w:t xml:space="preserve"> contains the mapping between </w:t>
      </w:r>
      <w:r w:rsidR="004A61F6">
        <w:rPr>
          <w:rFonts w:hint="eastAsia"/>
        </w:rPr>
        <w:t xml:space="preserve">YANG data nodes </w:t>
      </w:r>
      <w:r w:rsidR="00504CB5">
        <w:t xml:space="preserve">included in </w:t>
      </w:r>
      <w:r w:rsidR="00504CB5" w:rsidRPr="006D366D">
        <w:rPr>
          <w:rFonts w:hint="eastAsia"/>
          <w:i/>
        </w:rPr>
        <w:t>ieee802-ethernet-interface</w:t>
      </w:r>
      <w:r w:rsidR="00504CB5">
        <w:rPr>
          <w:rFonts w:hint="eastAsia"/>
        </w:rPr>
        <w:t xml:space="preserve"> </w:t>
      </w:r>
      <w:r w:rsidR="00504CB5">
        <w:t xml:space="preserve">(see Table x-1) and </w:t>
      </w:r>
      <w:r w:rsidR="00504CB5" w:rsidRPr="006D366D">
        <w:rPr>
          <w:rFonts w:hint="eastAsia"/>
          <w:i/>
        </w:rPr>
        <w:t>ieee802-ethernet-interface-legacy</w:t>
      </w:r>
      <w:r w:rsidR="00504CB5">
        <w:t xml:space="preserve"> (see Table x-2) YANG </w:t>
      </w:r>
      <w:r w:rsidR="00504CB5">
        <w:rPr>
          <w:rFonts w:hint="eastAsia"/>
        </w:rPr>
        <w:t>module</w:t>
      </w:r>
      <w:r w:rsidR="00504CB5">
        <w:t>s</w:t>
      </w:r>
      <w:r w:rsidR="00504CB5" w:rsidDel="00504CB5">
        <w:rPr>
          <w:rFonts w:hint="eastAsia"/>
        </w:rPr>
        <w:t xml:space="preserve"> </w:t>
      </w:r>
      <w:r>
        <w:rPr>
          <w:rFonts w:hint="eastAsia"/>
        </w:rPr>
        <w:t xml:space="preserve">and the attributes defined in IEEE </w:t>
      </w:r>
      <w:proofErr w:type="gramStart"/>
      <w:r>
        <w:rPr>
          <w:rFonts w:hint="eastAsia"/>
        </w:rPr>
        <w:t>Std</w:t>
      </w:r>
      <w:proofErr w:type="gramEnd"/>
      <w:r>
        <w:rPr>
          <w:rFonts w:hint="eastAsia"/>
        </w:rPr>
        <w:t xml:space="preserve"> 802.3</w:t>
      </w:r>
      <w:r w:rsidR="00504CB5">
        <w:t>, Clause 30</w:t>
      </w:r>
      <w:r>
        <w:rPr>
          <w:rFonts w:hint="eastAsia"/>
        </w:rPr>
        <w:t xml:space="preserve">. </w:t>
      </w:r>
    </w:p>
    <w:p w:rsidR="00170C5A" w:rsidRPr="00415EFA" w:rsidRDefault="00170C5A" w:rsidP="00170C5A">
      <w:pPr>
        <w:spacing w:line="240" w:lineRule="auto"/>
        <w:jc w:val="both"/>
      </w:pPr>
    </w:p>
    <w:p w:rsidR="00C67BFF" w:rsidRDefault="00170C5A" w:rsidP="00170C5A">
      <w:pPr>
        <w:spacing w:line="240" w:lineRule="auto"/>
        <w:jc w:val="center"/>
        <w:rPr>
          <w:b/>
        </w:rPr>
      </w:pPr>
      <w:r w:rsidRPr="00D3761B">
        <w:rPr>
          <w:rFonts w:hint="eastAsia"/>
          <w:b/>
        </w:rPr>
        <w:t>Table x-</w:t>
      </w:r>
      <w:r w:rsidR="00367C78">
        <w:rPr>
          <w:rFonts w:hint="eastAsia"/>
          <w:b/>
        </w:rPr>
        <w:t>1</w:t>
      </w:r>
      <w:r w:rsidRPr="00D3761B">
        <w:rPr>
          <w:rFonts w:hint="eastAsia"/>
          <w:b/>
        </w:rPr>
        <w:t xml:space="preserve">-mapping between IEEE </w:t>
      </w:r>
      <w:proofErr w:type="gramStart"/>
      <w:r w:rsidR="00504CB5">
        <w:rPr>
          <w:b/>
        </w:rPr>
        <w:t>Std</w:t>
      </w:r>
      <w:proofErr w:type="gramEnd"/>
      <w:r w:rsidR="00504CB5">
        <w:rPr>
          <w:b/>
        </w:rPr>
        <w:t xml:space="preserve"> </w:t>
      </w:r>
      <w:r w:rsidRPr="00D3761B">
        <w:rPr>
          <w:rFonts w:hint="eastAsia"/>
          <w:b/>
        </w:rPr>
        <w:t>802.3</w:t>
      </w:r>
      <w:r w:rsidR="00504CB5">
        <w:rPr>
          <w:b/>
        </w:rPr>
        <w:t>, Clause 30</w:t>
      </w:r>
      <w:r w:rsidRPr="00D3761B">
        <w:rPr>
          <w:rFonts w:hint="eastAsia"/>
          <w:b/>
        </w:rPr>
        <w:t xml:space="preserve"> managed objects and </w:t>
      </w:r>
    </w:p>
    <w:p w:rsidR="00170C5A" w:rsidRDefault="00367C78" w:rsidP="00170C5A">
      <w:pPr>
        <w:spacing w:line="240" w:lineRule="auto"/>
        <w:jc w:val="center"/>
        <w:rPr>
          <w:b/>
        </w:rPr>
      </w:pPr>
      <w:proofErr w:type="gramStart"/>
      <w:r w:rsidRPr="00736F8F">
        <w:rPr>
          <w:b/>
        </w:rPr>
        <w:t>ieee802-ethernet-interface</w:t>
      </w:r>
      <w:proofErr w:type="gramEnd"/>
      <w:r w:rsidRPr="00D3761B">
        <w:rPr>
          <w:rFonts w:hint="eastAsia"/>
          <w:b/>
        </w:rPr>
        <w:t xml:space="preserve"> </w:t>
      </w:r>
      <w:r w:rsidR="00504CB5">
        <w:rPr>
          <w:b/>
        </w:rPr>
        <w:t xml:space="preserve">YANG </w:t>
      </w:r>
      <w:r w:rsidR="00170C5A" w:rsidRPr="00D3761B">
        <w:rPr>
          <w:rFonts w:hint="eastAsia"/>
          <w:b/>
        </w:rPr>
        <w:t>data nodes</w:t>
      </w:r>
    </w:p>
    <w:p w:rsidR="00047E2E" w:rsidRPr="00D3761B" w:rsidRDefault="00047E2E" w:rsidP="00170C5A">
      <w:pPr>
        <w:spacing w:line="240" w:lineRule="auto"/>
        <w:jc w:val="center"/>
        <w:rPr>
          <w:b/>
        </w:rPr>
      </w:pPr>
    </w:p>
    <w:tbl>
      <w:tblPr>
        <w:tblStyle w:val="af0"/>
        <w:tblW w:w="992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2268"/>
        <w:gridCol w:w="2551"/>
      </w:tblGrid>
      <w:tr w:rsidR="00491058" w:rsidRPr="00DE542B" w:rsidTr="00C543E6">
        <w:tc>
          <w:tcPr>
            <w:tcW w:w="3119" w:type="dxa"/>
            <w:gridSpan w:val="2"/>
          </w:tcPr>
          <w:p w:rsidR="00491058" w:rsidRPr="002137BC" w:rsidRDefault="00491058" w:rsidP="00066EEF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Corresponding </w:t>
            </w:r>
            <w:r w:rsidRPr="00736F8F">
              <w:rPr>
                <w:b/>
              </w:rPr>
              <w:t>ieee802-ethernet-interface</w:t>
            </w:r>
            <w:r w:rsidRPr="002137BC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YANG </w:t>
            </w:r>
            <w:r w:rsidRPr="002137BC">
              <w:rPr>
                <w:rFonts w:hint="eastAsia"/>
                <w:b/>
              </w:rPr>
              <w:t>data nodes</w:t>
            </w:r>
          </w:p>
        </w:tc>
        <w:tc>
          <w:tcPr>
            <w:tcW w:w="6804" w:type="dxa"/>
            <w:gridSpan w:val="3"/>
          </w:tcPr>
          <w:p w:rsidR="00491058" w:rsidRPr="002137BC" w:rsidRDefault="00491058" w:rsidP="00066EEF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IEEE </w:t>
            </w:r>
            <w:r>
              <w:rPr>
                <w:b/>
              </w:rPr>
              <w:t xml:space="preserve">Std </w:t>
            </w:r>
            <w:r w:rsidRPr="002137BC">
              <w:rPr>
                <w:rFonts w:hint="eastAsia"/>
                <w:b/>
              </w:rPr>
              <w:t>802.3</w:t>
            </w:r>
            <w:r>
              <w:rPr>
                <w:b/>
              </w:rPr>
              <w:t>,</w:t>
            </w:r>
            <w:r w:rsidRPr="002137BC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Clause 30 </w:t>
            </w:r>
            <w:r w:rsidRPr="002137BC">
              <w:rPr>
                <w:rFonts w:hint="eastAsia"/>
                <w:b/>
              </w:rPr>
              <w:t>managed object</w:t>
            </w:r>
          </w:p>
        </w:tc>
      </w:tr>
      <w:tr w:rsidR="00491058" w:rsidRPr="00AC3C0F" w:rsidTr="00491058">
        <w:tc>
          <w:tcPr>
            <w:tcW w:w="1276" w:type="dxa"/>
          </w:tcPr>
          <w:p w:rsidR="00491058" w:rsidRPr="00AC3C0F" w:rsidRDefault="00491058" w:rsidP="00AC3C0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container</w:t>
            </w:r>
          </w:p>
        </w:tc>
        <w:tc>
          <w:tcPr>
            <w:tcW w:w="1843" w:type="dxa"/>
          </w:tcPr>
          <w:p w:rsidR="00491058" w:rsidRPr="00AC3C0F" w:rsidRDefault="00491058" w:rsidP="00AC3C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C3C0F">
              <w:rPr>
                <w:rFonts w:hint="eastAsia"/>
                <w:b/>
              </w:rPr>
              <w:t>ata nodes</w:t>
            </w:r>
          </w:p>
        </w:tc>
        <w:tc>
          <w:tcPr>
            <w:tcW w:w="1985" w:type="dxa"/>
          </w:tcPr>
          <w:p w:rsidR="00491058" w:rsidRPr="00AC3C0F" w:rsidRDefault="00491058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objects</w:t>
            </w:r>
          </w:p>
        </w:tc>
        <w:tc>
          <w:tcPr>
            <w:tcW w:w="2268" w:type="dxa"/>
          </w:tcPr>
          <w:p w:rsidR="00491058" w:rsidRPr="00AC3C0F" w:rsidRDefault="00491058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A</w:t>
            </w:r>
            <w:r w:rsidRPr="00AC3C0F">
              <w:rPr>
                <w:rFonts w:hint="eastAsia"/>
                <w:b/>
              </w:rPr>
              <w:t>ttributes</w:t>
            </w:r>
          </w:p>
        </w:tc>
        <w:tc>
          <w:tcPr>
            <w:tcW w:w="2551" w:type="dxa"/>
          </w:tcPr>
          <w:p w:rsidR="00491058" w:rsidRPr="00AC3C0F" w:rsidRDefault="009E46C7" w:rsidP="00066E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Normative</w:t>
            </w:r>
            <w:r>
              <w:rPr>
                <w:rFonts w:hint="eastAsia"/>
                <w:b/>
              </w:rPr>
              <w:t xml:space="preserve"> r</w:t>
            </w:r>
            <w:r w:rsidR="00491058">
              <w:rPr>
                <w:rFonts w:hint="eastAsia"/>
                <w:b/>
              </w:rPr>
              <w:t>eferences</w:t>
            </w: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Pr="00854827" w:rsidRDefault="00491058" w:rsidP="00EA3C32">
            <w:pPr>
              <w:spacing w:line="240" w:lineRule="auto"/>
            </w:pPr>
            <w:r>
              <w:t>interfaces/ 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auto-negotiation/enable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</w:tcPr>
          <w:p w:rsidR="00491058" w:rsidRDefault="00D5187C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EA3C32"/>
        </w:tc>
        <w:tc>
          <w:tcPr>
            <w:tcW w:w="1843" w:type="dxa"/>
          </w:tcPr>
          <w:p w:rsidR="00491058" w:rsidRDefault="00491058" w:rsidP="00EA3C32">
            <w:pPr>
              <w:spacing w:line="240" w:lineRule="auto"/>
            </w:pPr>
            <w:r>
              <w:rPr>
                <w:rFonts w:hint="eastAsia"/>
              </w:rPr>
              <w:t>flow-control/pause/direction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D5187C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EA3C32"/>
        </w:tc>
        <w:tc>
          <w:tcPr>
            <w:tcW w:w="1843" w:type="dxa"/>
          </w:tcPr>
          <w:p w:rsidR="00491058" w:rsidRPr="00E84ABD" w:rsidRDefault="00491058" w:rsidP="00066EEF">
            <w:pPr>
              <w:spacing w:line="240" w:lineRule="auto"/>
            </w:pPr>
            <w:r>
              <w:rPr>
                <w:rFonts w:hint="eastAsia"/>
              </w:rPr>
              <w:t>flow-control/</w:t>
            </w:r>
            <w:proofErr w:type="spellStart"/>
            <w:r>
              <w:rPr>
                <w:rFonts w:hint="eastAsia"/>
              </w:rPr>
              <w:t>pfc</w:t>
            </w:r>
            <w:proofErr w:type="spellEnd"/>
            <w:r>
              <w:rPr>
                <w:rFonts w:hint="eastAsia"/>
              </w:rPr>
              <w:t>/enable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D5187C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rPr>
          <w:trHeight w:val="487"/>
        </w:trPr>
        <w:tc>
          <w:tcPr>
            <w:tcW w:w="1276" w:type="dxa"/>
            <w:vMerge/>
          </w:tcPr>
          <w:p w:rsidR="00491058" w:rsidRDefault="00491058" w:rsidP="00EA3C32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force-flow-control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DB4C30" w:rsidP="00D5187C">
            <w:pPr>
              <w:spacing w:line="240" w:lineRule="auto"/>
            </w:pPr>
            <w:r>
              <w:rPr>
                <w:rFonts w:hint="eastAsia"/>
              </w:rPr>
              <w:t>N</w:t>
            </w:r>
            <w:r w:rsidR="00D5187C">
              <w:rPr>
                <w:rFonts w:hint="eastAsia"/>
              </w:rPr>
              <w:t>/A</w:t>
            </w:r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rPr>
          <w:trHeight w:val="268"/>
        </w:trPr>
        <w:tc>
          <w:tcPr>
            <w:tcW w:w="1276" w:type="dxa"/>
            <w:vMerge/>
          </w:tcPr>
          <w:p w:rsidR="00491058" w:rsidRDefault="00491058" w:rsidP="00066EEF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duplex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aDuplexStatus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speed</w:t>
            </w:r>
          </w:p>
        </w:tc>
        <w:tc>
          <w:tcPr>
            <w:tcW w:w="4253" w:type="dxa"/>
            <w:gridSpan w:val="2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65176F">
            <w:pPr>
              <w:spacing w:line="240" w:lineRule="auto"/>
            </w:pPr>
            <w:r>
              <w:rPr>
                <w:rFonts w:hint="eastAsia"/>
              </w:rPr>
              <w:t>interfaces-state/interface</w:t>
            </w:r>
            <w:r>
              <w:rPr>
                <w:rFonts w:hint="eastAsia"/>
              </w:rPr>
              <w:lastRenderedPageBreak/>
              <w:t>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>
              <w:rPr>
                <w:rFonts w:hint="eastAsia"/>
              </w:rPr>
              <w:lastRenderedPageBreak/>
              <w:t>auto-negotiation/enable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  <w:vMerge w:val="restart"/>
          </w:tcPr>
          <w:p w:rsidR="00491058" w:rsidRDefault="00DB4C30" w:rsidP="00066EEF">
            <w:pPr>
              <w:spacing w:line="240" w:lineRule="auto"/>
            </w:pPr>
            <w:r>
              <w:rPr>
                <w:rFonts w:hint="eastAsia"/>
              </w:rPr>
              <w:t>N</w:t>
            </w:r>
            <w:r w:rsidR="00D5187C">
              <w:rPr>
                <w:rFonts w:hint="eastAsia"/>
              </w:rPr>
              <w:t>/A</w:t>
            </w:r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C8746A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auto-negotiation/negotiation-status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C8746A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speed</w:t>
            </w:r>
          </w:p>
        </w:tc>
        <w:tc>
          <w:tcPr>
            <w:tcW w:w="4253" w:type="dxa"/>
            <w:gridSpan w:val="2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C8746A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duplex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aDuplexStatus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C8746A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C8746A">
            <w:pPr>
              <w:spacing w:line="240" w:lineRule="auto"/>
            </w:pPr>
            <w:r>
              <w:t>max-frame-length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aMaxFrameLength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frame-limit-slow-protocol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aSlowProtocolFrameLimit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</w:tcPr>
          <w:p w:rsidR="00491058" w:rsidRDefault="00491058" w:rsidP="00C8746A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C8746A">
            <w:pPr>
              <w:spacing w:line="240" w:lineRule="auto"/>
            </w:pPr>
            <w:proofErr w:type="spellStart"/>
            <w:r>
              <w:rPr>
                <w:rFonts w:hint="eastAsia"/>
              </w:rPr>
              <w:t>macc</w:t>
            </w:r>
            <w:proofErr w:type="spellEnd"/>
            <w:r>
              <w:rPr>
                <w:rFonts w:hint="eastAsia"/>
              </w:rPr>
              <w:t>-extension-control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oEXTENSION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aEXTENSIONMACCtrlStatus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rPr>
          <w:trHeight w:val="491"/>
        </w:trPr>
        <w:tc>
          <w:tcPr>
            <w:tcW w:w="1276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nterfaces</w:t>
            </w:r>
            <w:r>
              <w:rPr>
                <w:rFonts w:hint="eastAsia"/>
              </w:rPr>
              <w:t>/</w:t>
            </w:r>
            <w:r>
              <w:t>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/flow-control/</w:t>
            </w: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force-flow-control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</w:tcPr>
          <w:p w:rsidR="00491058" w:rsidRDefault="00D5187C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EA3C32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nterfaces</w:t>
            </w:r>
            <w:r>
              <w:rPr>
                <w:rFonts w:hint="eastAsia"/>
              </w:rPr>
              <w:t>/</w:t>
            </w:r>
            <w:r>
              <w:t>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 flow-control/ pause/</w:t>
            </w:r>
          </w:p>
          <w:p w:rsidR="00491058" w:rsidRDefault="00491058" w:rsidP="00EA3C32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direction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EA3C32">
            <w:pPr>
              <w:spacing w:line="240" w:lineRule="auto"/>
            </w:pP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>
              <w:t>statistics</w:t>
            </w:r>
            <w:r>
              <w:rPr>
                <w:rFonts w:hint="eastAsia"/>
              </w:rPr>
              <w:t>/in-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  <w:r>
              <w:rPr>
                <w:rFonts w:hint="eastAsia"/>
              </w:rPr>
              <w:t>-pause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oMACControlFunctionEntity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0003B1">
              <w:t>aPAUSEMACCtrlFramesReceived</w:t>
            </w:r>
            <w:proofErr w:type="spellEnd"/>
          </w:p>
        </w:tc>
        <w:tc>
          <w:tcPr>
            <w:tcW w:w="2551" w:type="dxa"/>
          </w:tcPr>
          <w:p w:rsidR="00491058" w:rsidRPr="000003B1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statistics</w:t>
            </w:r>
            <w:r>
              <w:rPr>
                <w:rFonts w:hint="eastAsia"/>
              </w:rPr>
              <w:t>/</w:t>
            </w:r>
            <w:r>
              <w:t>out-</w:t>
            </w:r>
            <w:proofErr w:type="spellStart"/>
            <w:r>
              <w:t>pkts</w:t>
            </w:r>
            <w:proofErr w:type="spellEnd"/>
            <w:r>
              <w:t>-pause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0003B1">
              <w:t>aPAUSEMACCtrlFramesTransmitted</w:t>
            </w:r>
            <w:proofErr w:type="spellEnd"/>
          </w:p>
        </w:tc>
        <w:tc>
          <w:tcPr>
            <w:tcW w:w="2551" w:type="dxa"/>
          </w:tcPr>
          <w:p w:rsidR="00491058" w:rsidRPr="000003B1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Pr="00EA3C32" w:rsidRDefault="00491058" w:rsidP="00EA3C32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nterfaces</w:t>
            </w:r>
            <w:r>
              <w:rPr>
                <w:rFonts w:hint="eastAsia"/>
              </w:rPr>
              <w:t>/</w:t>
            </w:r>
            <w:r>
              <w:t>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/flow-control/</w:t>
            </w:r>
            <w:proofErr w:type="spellStart"/>
            <w:r>
              <w:rPr>
                <w:rFonts w:hint="eastAsia"/>
              </w:rPr>
              <w:t>pfc</w:t>
            </w:r>
            <w:proofErr w:type="spellEnd"/>
            <w:r>
              <w:rPr>
                <w:rFonts w:hint="eastAsia"/>
              </w:rPr>
              <w:t>{</w:t>
            </w:r>
            <w:proofErr w:type="spellStart"/>
            <w:r>
              <w:rPr>
                <w:rFonts w:hint="eastAsia"/>
              </w:rPr>
              <w:t>ethernet-pfc</w:t>
            </w:r>
            <w:proofErr w:type="spellEnd"/>
            <w:r>
              <w:rPr>
                <w:rFonts w:hint="eastAsia"/>
              </w:rPr>
              <w:t>}/</w:t>
            </w: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>
              <w:rPr>
                <w:rFonts w:hint="eastAsia"/>
              </w:rPr>
              <w:t>enable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</w:tcPr>
          <w:p w:rsidR="00491058" w:rsidRDefault="00D5187C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Pr="00736E36" w:rsidRDefault="00491058" w:rsidP="00EA3C32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 w:rsidRPr="00736E36">
              <w:rPr>
                <w:rFonts w:hint="eastAsia"/>
                <w:highlight w:val="yellow"/>
              </w:rPr>
              <w:t>statistics/in-</w:t>
            </w:r>
            <w:proofErr w:type="spellStart"/>
            <w:r w:rsidRPr="00736E36">
              <w:rPr>
                <w:rFonts w:hint="eastAsia"/>
                <w:highlight w:val="yellow"/>
              </w:rPr>
              <w:t>pkts</w:t>
            </w:r>
            <w:proofErr w:type="spellEnd"/>
            <w:r w:rsidRPr="00736E36">
              <w:rPr>
                <w:rFonts w:hint="eastAsia"/>
                <w:highlight w:val="yellow"/>
              </w:rPr>
              <w:t>-</w:t>
            </w:r>
            <w:proofErr w:type="spellStart"/>
            <w:r w:rsidRPr="00736E36">
              <w:rPr>
                <w:rFonts w:hint="eastAsia"/>
                <w:highlight w:val="yellow"/>
              </w:rPr>
              <w:t>pfc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Pr="00736E36" w:rsidRDefault="00491058" w:rsidP="00110C35">
            <w:pPr>
              <w:spacing w:line="240" w:lineRule="auto"/>
              <w:rPr>
                <w:highlight w:val="yellow"/>
              </w:rPr>
            </w:pPr>
            <w:r w:rsidRPr="00736E36">
              <w:rPr>
                <w:highlight w:val="yellow"/>
              </w:rPr>
              <w:t>dot3HCInPFCFrames</w:t>
            </w:r>
            <w:r>
              <w:rPr>
                <w:rFonts w:hint="eastAsia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491058" w:rsidRPr="004100B7" w:rsidRDefault="00D5187C" w:rsidP="00110C35">
            <w:pPr>
              <w:spacing w:line="240" w:lineRule="auto"/>
              <w:rPr>
                <w:highlight w:val="yellow"/>
              </w:rPr>
            </w:pPr>
            <w:r w:rsidRPr="004100B7">
              <w:rPr>
                <w:rFonts w:hint="eastAsia"/>
                <w:highlight w:val="yellow"/>
              </w:rPr>
              <w:t xml:space="preserve">IEEE </w:t>
            </w:r>
            <w:proofErr w:type="spellStart"/>
            <w:r w:rsidRPr="004100B7">
              <w:rPr>
                <w:rFonts w:hint="eastAsia"/>
                <w:highlight w:val="yellow"/>
              </w:rPr>
              <w:t>Std</w:t>
            </w:r>
            <w:proofErr w:type="spellEnd"/>
            <w:r w:rsidRPr="004100B7">
              <w:rPr>
                <w:rFonts w:hint="eastAsia"/>
                <w:highlight w:val="yellow"/>
              </w:rPr>
              <w:t xml:space="preserve"> 802.3.1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Pr="00736E36" w:rsidRDefault="00491058" w:rsidP="00066EE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 w:rsidRPr="00736E36">
              <w:rPr>
                <w:rFonts w:hint="eastAsia"/>
                <w:highlight w:val="yellow"/>
              </w:rPr>
              <w:t>statistics/</w:t>
            </w:r>
            <w:r w:rsidRPr="00736E36">
              <w:rPr>
                <w:highlight w:val="yellow"/>
              </w:rPr>
              <w:t>out-</w:t>
            </w:r>
            <w:proofErr w:type="spellStart"/>
            <w:r w:rsidRPr="00736E36">
              <w:rPr>
                <w:highlight w:val="yellow"/>
              </w:rPr>
              <w:t>pkts</w:t>
            </w:r>
            <w:proofErr w:type="spellEnd"/>
            <w:r w:rsidRPr="00736E36">
              <w:rPr>
                <w:highlight w:val="yellow"/>
              </w:rPr>
              <w:t>-</w:t>
            </w:r>
            <w:proofErr w:type="spellStart"/>
            <w:r w:rsidRPr="00736E36">
              <w:rPr>
                <w:highlight w:val="yellow"/>
              </w:rPr>
              <w:t>pfc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Pr="00736E36" w:rsidRDefault="00491058" w:rsidP="00066EEF">
            <w:pPr>
              <w:spacing w:line="240" w:lineRule="auto"/>
              <w:rPr>
                <w:highlight w:val="yellow"/>
              </w:rPr>
            </w:pPr>
            <w:r w:rsidRPr="00736E36">
              <w:rPr>
                <w:highlight w:val="yellow"/>
              </w:rPr>
              <w:t>dot3HCOutPFCFrames</w:t>
            </w:r>
          </w:p>
        </w:tc>
        <w:tc>
          <w:tcPr>
            <w:tcW w:w="2551" w:type="dxa"/>
          </w:tcPr>
          <w:p w:rsidR="00491058" w:rsidRPr="004100B7" w:rsidRDefault="00D5187C" w:rsidP="00066EEF">
            <w:pPr>
              <w:spacing w:line="240" w:lineRule="auto"/>
              <w:rPr>
                <w:highlight w:val="yellow"/>
              </w:rPr>
            </w:pPr>
            <w:r w:rsidRPr="004100B7">
              <w:rPr>
                <w:rFonts w:hint="eastAsia"/>
                <w:highlight w:val="yellow"/>
              </w:rPr>
              <w:t xml:space="preserve">IEEE </w:t>
            </w:r>
            <w:proofErr w:type="spellStart"/>
            <w:r w:rsidRPr="004100B7">
              <w:rPr>
                <w:rFonts w:hint="eastAsia"/>
                <w:highlight w:val="yellow"/>
              </w:rPr>
              <w:t>Std</w:t>
            </w:r>
            <w:proofErr w:type="spellEnd"/>
            <w:r w:rsidRPr="004100B7">
              <w:rPr>
                <w:rFonts w:hint="eastAsia"/>
                <w:highlight w:val="yellow"/>
              </w:rPr>
              <w:t xml:space="preserve"> 802.3.1</w:t>
            </w:r>
          </w:p>
        </w:tc>
      </w:tr>
      <w:tr w:rsidR="00491058" w:rsidTr="00491058">
        <w:tc>
          <w:tcPr>
            <w:tcW w:w="1276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/capabilities</w:t>
            </w:r>
          </w:p>
        </w:tc>
        <w:tc>
          <w:tcPr>
            <w:tcW w:w="1843" w:type="dxa"/>
          </w:tcPr>
          <w:p w:rsidR="00491058" w:rsidRPr="004100B7" w:rsidRDefault="00491058" w:rsidP="00066EEF">
            <w:pPr>
              <w:spacing w:line="240" w:lineRule="auto"/>
            </w:pPr>
            <w:r w:rsidRPr="004100B7">
              <w:rPr>
                <w:rFonts w:hint="eastAsia"/>
              </w:rPr>
              <w:t>auto-negotiation</w:t>
            </w:r>
          </w:p>
        </w:tc>
        <w:tc>
          <w:tcPr>
            <w:tcW w:w="1985" w:type="dxa"/>
            <w:vMerge/>
          </w:tcPr>
          <w:p w:rsidR="00491058" w:rsidRPr="004100B7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Pr="004100B7" w:rsidRDefault="00D5187C" w:rsidP="00066EEF">
            <w:pPr>
              <w:spacing w:line="240" w:lineRule="auto"/>
            </w:pPr>
            <w:r w:rsidRPr="004100B7">
              <w:t>N/A</w:t>
            </w: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/frame-statistics</w:t>
            </w:r>
          </w:p>
        </w:tc>
        <w:tc>
          <w:tcPr>
            <w:tcW w:w="1843" w:type="dxa"/>
          </w:tcPr>
          <w:p w:rsidR="00491058" w:rsidRPr="004100B7" w:rsidRDefault="00491058" w:rsidP="00066EEF">
            <w:pPr>
              <w:spacing w:line="240" w:lineRule="auto"/>
            </w:pPr>
            <w:r w:rsidRPr="004100B7">
              <w:t>in-total-</w:t>
            </w:r>
            <w:proofErr w:type="spellStart"/>
            <w:r w:rsidRPr="004100B7">
              <w:t>pkts</w:t>
            </w:r>
            <w:proofErr w:type="spellEnd"/>
          </w:p>
        </w:tc>
        <w:tc>
          <w:tcPr>
            <w:tcW w:w="1985" w:type="dxa"/>
          </w:tcPr>
          <w:p w:rsidR="00491058" w:rsidRPr="004100B7" w:rsidRDefault="00491058" w:rsidP="00066EEF">
            <w:pPr>
              <w:spacing w:line="240" w:lineRule="auto"/>
            </w:pPr>
            <w:proofErr w:type="spellStart"/>
            <w:r w:rsidRPr="004100B7"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Pr="004100B7" w:rsidRDefault="00491058" w:rsidP="00D5187C">
            <w:pPr>
              <w:spacing w:line="240" w:lineRule="auto"/>
            </w:pPr>
            <w:r w:rsidRPr="004100B7">
              <w:t xml:space="preserve">No direct </w:t>
            </w:r>
            <w:r w:rsidR="00D5187C" w:rsidRPr="004100B7">
              <w:t>object</w:t>
            </w:r>
            <w:r w:rsidR="00D5187C" w:rsidRPr="004100B7">
              <w:rPr>
                <w:rFonts w:hint="eastAsia"/>
              </w:rPr>
              <w:t>*</w:t>
            </w:r>
            <w:r w:rsidRPr="004100B7">
              <w:t>.</w:t>
            </w:r>
          </w:p>
        </w:tc>
        <w:tc>
          <w:tcPr>
            <w:tcW w:w="2551" w:type="dxa"/>
          </w:tcPr>
          <w:p w:rsidR="00491058" w:rsidRPr="000003B1" w:rsidRDefault="00491058" w:rsidP="00110C35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  <w:r w:rsidRPr="00B90ACA">
              <w:rPr>
                <w:highlight w:val="yellow"/>
              </w:rPr>
              <w:t>in-total-o</w:t>
            </w:r>
            <w:r w:rsidRPr="00B90ACA">
              <w:rPr>
                <w:rFonts w:hint="eastAsia"/>
                <w:highlight w:val="yellow"/>
              </w:rPr>
              <w:t>ctets</w:t>
            </w:r>
          </w:p>
        </w:tc>
        <w:tc>
          <w:tcPr>
            <w:tcW w:w="1985" w:type="dxa"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N/A</w:t>
            </w:r>
          </w:p>
        </w:tc>
        <w:tc>
          <w:tcPr>
            <w:tcW w:w="2268" w:type="dxa"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  <w:proofErr w:type="spellStart"/>
            <w:r w:rsidRPr="00B90ACA">
              <w:rPr>
                <w:highlight w:val="yellow"/>
              </w:rPr>
              <w:t>etherStatsOctets</w:t>
            </w:r>
            <w:proofErr w:type="spellEnd"/>
          </w:p>
        </w:tc>
        <w:tc>
          <w:tcPr>
            <w:tcW w:w="2551" w:type="dxa"/>
          </w:tcPr>
          <w:p w:rsidR="00491058" w:rsidRPr="00B90ACA" w:rsidRDefault="003D075D" w:rsidP="00066EEF">
            <w:pPr>
              <w:spacing w:line="240" w:lineRule="auto"/>
              <w:rPr>
                <w:highlight w:val="yellow"/>
              </w:rPr>
            </w:pPr>
            <w:r w:rsidRPr="00B90ACA">
              <w:rPr>
                <w:highlight w:val="yellow"/>
              </w:rPr>
              <w:t>RMON MIB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aFramesReceivedOK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in-multicast-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aMulticastFramesReceivedOK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in-broadcast-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aBroadcastFramesReceivedOK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Pr="004100B7" w:rsidRDefault="00491058" w:rsidP="00066EEF">
            <w:pPr>
              <w:spacing w:line="240" w:lineRule="auto"/>
            </w:pPr>
            <w:r w:rsidRPr="004100B7">
              <w:t>in-error-fcs-</w:t>
            </w:r>
            <w:proofErr w:type="spellStart"/>
            <w:r w:rsidRPr="004100B7"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Pr="004100B7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Pr="004100B7" w:rsidRDefault="00491058" w:rsidP="00066EEF">
            <w:pPr>
              <w:spacing w:line="240" w:lineRule="auto"/>
            </w:pPr>
            <w:proofErr w:type="spellStart"/>
            <w:r w:rsidRPr="004100B7">
              <w:t>aFrameCheckSequenceErrors</w:t>
            </w:r>
            <w:proofErr w:type="spellEnd"/>
            <w:r w:rsidRPr="004100B7">
              <w:t xml:space="preserve"> + </w:t>
            </w:r>
            <w:proofErr w:type="spellStart"/>
            <w:r w:rsidRPr="004100B7">
              <w:t>aAlignmentErrors</w:t>
            </w:r>
            <w:proofErr w:type="spellEnd"/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 w:rsidRPr="00B90ACA">
              <w:rPr>
                <w:rFonts w:hint="eastAsia"/>
                <w:highlight w:val="yellow"/>
              </w:rPr>
              <w:t>in-error-undersize-</w:t>
            </w:r>
            <w:proofErr w:type="spellStart"/>
            <w:r w:rsidRPr="00B90ACA">
              <w:rPr>
                <w:rFonts w:hint="eastAsia"/>
                <w:highlight w:val="yellow"/>
              </w:rPr>
              <w:t>pkts</w:t>
            </w:r>
            <w:proofErr w:type="spellEnd"/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  <w:highlight w:val="yellow"/>
              </w:rPr>
              <w:t>N/A</w:t>
            </w:r>
          </w:p>
        </w:tc>
        <w:tc>
          <w:tcPr>
            <w:tcW w:w="2268" w:type="dxa"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  <w:r w:rsidRPr="00B90ACA">
              <w:rPr>
                <w:highlight w:val="yellow"/>
              </w:rPr>
              <w:t xml:space="preserve"> (</w:t>
            </w:r>
            <w:proofErr w:type="spellStart"/>
            <w:r w:rsidRPr="00B90ACA">
              <w:rPr>
                <w:highlight w:val="yellow"/>
              </w:rPr>
              <w:t>etherStatsUndersizePkts</w:t>
            </w:r>
            <w:proofErr w:type="spellEnd"/>
            <w:r w:rsidRPr="00B90ACA">
              <w:rPr>
                <w:highlight w:val="yellow"/>
              </w:rPr>
              <w:t xml:space="preserve"> + </w:t>
            </w:r>
            <w:proofErr w:type="spellStart"/>
            <w:r w:rsidRPr="00B90ACA">
              <w:rPr>
                <w:highlight w:val="yellow"/>
              </w:rPr>
              <w:t>etherStatsFragments</w:t>
            </w:r>
            <w:proofErr w:type="spellEnd"/>
            <w:r w:rsidRPr="00B90ACA">
              <w:rPr>
                <w:highlight w:val="yellow"/>
              </w:rPr>
              <w:t>)</w:t>
            </w:r>
          </w:p>
        </w:tc>
        <w:tc>
          <w:tcPr>
            <w:tcW w:w="2551" w:type="dxa"/>
          </w:tcPr>
          <w:p w:rsidR="00491058" w:rsidRPr="00B90ACA" w:rsidRDefault="003D075D" w:rsidP="00066EEF">
            <w:pPr>
              <w:spacing w:line="240" w:lineRule="auto"/>
              <w:rPr>
                <w:highlight w:val="yellow"/>
              </w:rPr>
            </w:pPr>
            <w:r w:rsidRPr="00B90ACA">
              <w:rPr>
                <w:highlight w:val="yellow"/>
              </w:rPr>
              <w:t>RMON MIB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in-error-oversize-</w:t>
            </w:r>
            <w:proofErr w:type="spellStart"/>
            <w:r>
              <w:t>p</w:t>
            </w:r>
            <w:r>
              <w:lastRenderedPageBreak/>
              <w:t>kts</w:t>
            </w:r>
            <w:proofErr w:type="spellEnd"/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lastRenderedPageBreak/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aFrameTooLongErrors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in-error-mac-internal-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aFramesLostDueToIntMACRcvError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Pr="006A1D1E" w:rsidRDefault="00491058" w:rsidP="00066EEF">
            <w:pPr>
              <w:spacing w:line="240" w:lineRule="auto"/>
            </w:pPr>
            <w:r>
              <w:t>out-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aFramesTransmittedOK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out-multicast-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aMulticastFramesXmittedOK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out-broadcast-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aBroadcastFramesXmittedOK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out-error-mac-internal-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aFramesLostDueToIntMACXmitError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</w:tcPr>
          <w:p w:rsidR="00491058" w:rsidRDefault="00491058" w:rsidP="009062B6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phy</w:t>
            </w:r>
            <w:proofErr w:type="spellEnd"/>
            <w:r>
              <w:rPr>
                <w:rFonts w:hint="eastAsia"/>
              </w:rPr>
              <w:t>-statistics</w:t>
            </w:r>
          </w:p>
        </w:tc>
        <w:tc>
          <w:tcPr>
            <w:tcW w:w="1843" w:type="dxa"/>
          </w:tcPr>
          <w:p w:rsidR="00491058" w:rsidRPr="009062B6" w:rsidRDefault="00491058" w:rsidP="00066EEF">
            <w:pPr>
              <w:spacing w:line="240" w:lineRule="auto"/>
            </w:pPr>
            <w:r>
              <w:t>in-error-symbol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oPHYEntity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aSymbolErrorDuringCarrier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phy</w:t>
            </w:r>
            <w:proofErr w:type="spellEnd"/>
            <w:r>
              <w:rPr>
                <w:rFonts w:hint="eastAsia"/>
              </w:rPr>
              <w:t>-statistics/</w:t>
            </w:r>
            <w:proofErr w:type="spellStart"/>
            <w:r>
              <w:rPr>
                <w:rFonts w:hint="eastAsia"/>
              </w:rPr>
              <w:t>lpi</w:t>
            </w:r>
            <w:proofErr w:type="spellEnd"/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</w:t>
            </w:r>
            <w:proofErr w:type="spellStart"/>
            <w:r>
              <w:t>lpi</w:t>
            </w:r>
            <w:proofErr w:type="spellEnd"/>
            <w:r>
              <w:t>-transitions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aReceiveLPITransitions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</w:t>
            </w:r>
            <w:proofErr w:type="spellStart"/>
            <w:r>
              <w:t>lpi</w:t>
            </w:r>
            <w:proofErr w:type="spellEnd"/>
            <w:r>
              <w:t>-time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aReceiveLPIMicroseconds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out-</w:t>
            </w:r>
            <w:proofErr w:type="spellStart"/>
            <w:r>
              <w:t>lpi</w:t>
            </w:r>
            <w:proofErr w:type="spellEnd"/>
            <w:r>
              <w:t>-transitions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aTransmitLPITransitions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out-</w:t>
            </w:r>
            <w:proofErr w:type="spellStart"/>
            <w:r>
              <w:t>lpi</w:t>
            </w:r>
            <w:proofErr w:type="spellEnd"/>
            <w:r>
              <w:t>-time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aTransmitLPIMicroseconds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624A85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/mac-control- statistics</w:t>
            </w:r>
          </w:p>
        </w:tc>
        <w:tc>
          <w:tcPr>
            <w:tcW w:w="1843" w:type="dxa"/>
          </w:tcPr>
          <w:p w:rsidR="00491058" w:rsidRPr="00624A85" w:rsidRDefault="00491058" w:rsidP="00066EEF">
            <w:pPr>
              <w:spacing w:line="240" w:lineRule="auto"/>
            </w:pPr>
            <w:r>
              <w:t>in-</w:t>
            </w:r>
            <w:proofErr w:type="spellStart"/>
            <w:r>
              <w:t>pkts</w:t>
            </w:r>
            <w:proofErr w:type="spellEnd"/>
            <w:r>
              <w:t>-</w:t>
            </w:r>
            <w:proofErr w:type="spellStart"/>
            <w:r>
              <w:t>macc</w:t>
            </w:r>
            <w:proofErr w:type="spellEnd"/>
            <w:r>
              <w:t>-unknown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oMACControlEntity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aUnsupportedOpcodesReceived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</w:t>
            </w:r>
            <w:proofErr w:type="spellStart"/>
            <w:r>
              <w:t>pkts</w:t>
            </w:r>
            <w:proofErr w:type="spellEnd"/>
            <w:r>
              <w:t>-</w:t>
            </w:r>
            <w:proofErr w:type="spellStart"/>
            <w:r>
              <w:t>macc</w:t>
            </w:r>
            <w:proofErr w:type="spellEnd"/>
            <w:r>
              <w:t>-extension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oEXTENSION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aEXTENSIONMACCtrlFramesReceived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out-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macc</w:t>
            </w:r>
            <w:proofErr w:type="spellEnd"/>
            <w:r>
              <w:rPr>
                <w:rFonts w:hint="eastAsia"/>
              </w:rPr>
              <w:t>-extension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aEXTENSIONMACCtrlFramesTransmitted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</w:tbl>
    <w:p w:rsidR="00E765A3" w:rsidRDefault="00110C35" w:rsidP="00E765A3">
      <w:r>
        <w:t>N</w:t>
      </w:r>
      <w:r>
        <w:rPr>
          <w:rFonts w:hint="eastAsia"/>
        </w:rPr>
        <w:t>ote*: C</w:t>
      </w:r>
      <w:r w:rsidRPr="000003B1">
        <w:t>an be calc</w:t>
      </w:r>
      <w:r>
        <w:t>ulated as (</w:t>
      </w:r>
      <w:proofErr w:type="spellStart"/>
      <w:r>
        <w:t>aFramesReceivedOK</w:t>
      </w:r>
      <w:proofErr w:type="spellEnd"/>
      <w:r>
        <w:t xml:space="preserve"> + </w:t>
      </w:r>
      <w:proofErr w:type="spellStart"/>
      <w:r>
        <w:t>aFrameCheckSequenceErrors</w:t>
      </w:r>
      <w:proofErr w:type="spellEnd"/>
      <w:r>
        <w:t xml:space="preserve"> + </w:t>
      </w:r>
      <w:proofErr w:type="spellStart"/>
      <w:r w:rsidRPr="000003B1">
        <w:t>aAlignmentE</w:t>
      </w:r>
      <w:r>
        <w:t>rrors</w:t>
      </w:r>
      <w:proofErr w:type="spellEnd"/>
      <w:r>
        <w:t xml:space="preserve"> + </w:t>
      </w:r>
      <w:proofErr w:type="spellStart"/>
      <w:r>
        <w:t>aFrameTooLongErrors</w:t>
      </w:r>
      <w:proofErr w:type="spellEnd"/>
      <w:r>
        <w:t xml:space="preserve"> + </w:t>
      </w:r>
      <w:proofErr w:type="spellStart"/>
      <w:r>
        <w:t>aFrameTooShortErrors</w:t>
      </w:r>
      <w:proofErr w:type="spellEnd"/>
      <w:r w:rsidRPr="000003B1">
        <w:t xml:space="preserve"> + </w:t>
      </w:r>
      <w:proofErr w:type="spellStart"/>
      <w:r w:rsidRPr="000003B1">
        <w:t>aFramesLostDueToIntMACRcvError</w:t>
      </w:r>
      <w:proofErr w:type="spellEnd"/>
      <w:r w:rsidRPr="000003B1">
        <w:t>)</w:t>
      </w:r>
    </w:p>
    <w:p w:rsidR="00110C35" w:rsidRDefault="00110C35" w:rsidP="00E765A3"/>
    <w:p w:rsidR="00E765A3" w:rsidRDefault="00367C78" w:rsidP="00367C78">
      <w:pPr>
        <w:spacing w:line="240" w:lineRule="auto"/>
        <w:jc w:val="center"/>
        <w:rPr>
          <w:b/>
        </w:rPr>
      </w:pPr>
      <w:r w:rsidRPr="00D3761B">
        <w:rPr>
          <w:rFonts w:hint="eastAsia"/>
          <w:b/>
        </w:rPr>
        <w:t>Table x-</w:t>
      </w:r>
      <w:r>
        <w:rPr>
          <w:rFonts w:hint="eastAsia"/>
          <w:b/>
        </w:rPr>
        <w:t>2</w:t>
      </w:r>
      <w:r w:rsidRPr="00D3761B">
        <w:rPr>
          <w:rFonts w:hint="eastAsia"/>
          <w:b/>
        </w:rPr>
        <w:t xml:space="preserve">-mapping between IEEE 802.3 managed objects and </w:t>
      </w:r>
      <w:r w:rsidRPr="00D724F5">
        <w:rPr>
          <w:b/>
        </w:rPr>
        <w:t>ieee802-ethernet-interface-legacy</w:t>
      </w:r>
      <w:r w:rsidRPr="00D3761B">
        <w:rPr>
          <w:rFonts w:hint="eastAsia"/>
          <w:b/>
        </w:rPr>
        <w:t xml:space="preserve"> data nodes</w:t>
      </w:r>
    </w:p>
    <w:p w:rsidR="0090321B" w:rsidRPr="00367C78" w:rsidRDefault="0090321B" w:rsidP="00367C78">
      <w:pPr>
        <w:spacing w:line="240" w:lineRule="auto"/>
        <w:jc w:val="center"/>
        <w:rPr>
          <w:b/>
        </w:rPr>
      </w:pPr>
    </w:p>
    <w:tbl>
      <w:tblPr>
        <w:tblStyle w:val="af0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3"/>
        <w:gridCol w:w="3403"/>
        <w:gridCol w:w="1843"/>
        <w:gridCol w:w="3118"/>
      </w:tblGrid>
      <w:tr w:rsidR="000B6C5B" w:rsidRPr="00B60509" w:rsidTr="00AD0A08">
        <w:tc>
          <w:tcPr>
            <w:tcW w:w="6096" w:type="dxa"/>
            <w:gridSpan w:val="2"/>
          </w:tcPr>
          <w:p w:rsidR="000B6C5B" w:rsidRPr="002137BC" w:rsidRDefault="000B6C5B" w:rsidP="00F3707D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Corresponding </w:t>
            </w:r>
            <w:r w:rsidRPr="00D724F5">
              <w:rPr>
                <w:b/>
              </w:rPr>
              <w:t>ieee802-ethernet-interface-legacy</w:t>
            </w:r>
            <w:r w:rsidRPr="002137B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data </w:t>
            </w:r>
            <w:r w:rsidRPr="002137BC">
              <w:rPr>
                <w:rFonts w:hint="eastAsia"/>
                <w:b/>
              </w:rPr>
              <w:t>nodes</w:t>
            </w:r>
          </w:p>
        </w:tc>
        <w:tc>
          <w:tcPr>
            <w:tcW w:w="4961" w:type="dxa"/>
            <w:gridSpan w:val="2"/>
          </w:tcPr>
          <w:p w:rsidR="000B6C5B" w:rsidRPr="002137BC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>IEEE 802.3 managed object</w:t>
            </w:r>
          </w:p>
        </w:tc>
      </w:tr>
      <w:tr w:rsidR="000B6C5B" w:rsidRPr="00AC3C0F" w:rsidTr="00AD0A08">
        <w:tc>
          <w:tcPr>
            <w:tcW w:w="2693" w:type="dxa"/>
          </w:tcPr>
          <w:p w:rsidR="000B6C5B" w:rsidRPr="00AC3C0F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YANG container</w:t>
            </w:r>
          </w:p>
        </w:tc>
        <w:tc>
          <w:tcPr>
            <w:tcW w:w="3403" w:type="dxa"/>
          </w:tcPr>
          <w:p w:rsidR="000B6C5B" w:rsidRPr="00AC3C0F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D</w:t>
            </w:r>
            <w:r w:rsidRPr="00AC3C0F">
              <w:rPr>
                <w:rFonts w:hint="eastAsia"/>
                <w:b/>
              </w:rPr>
              <w:t>ata nodes</w:t>
            </w:r>
          </w:p>
        </w:tc>
        <w:tc>
          <w:tcPr>
            <w:tcW w:w="1843" w:type="dxa"/>
          </w:tcPr>
          <w:p w:rsidR="000B6C5B" w:rsidRPr="00AC3C0F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objects</w:t>
            </w:r>
          </w:p>
        </w:tc>
        <w:tc>
          <w:tcPr>
            <w:tcW w:w="3118" w:type="dxa"/>
          </w:tcPr>
          <w:p w:rsidR="000B6C5B" w:rsidRPr="00AC3C0F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A</w:t>
            </w:r>
            <w:r w:rsidRPr="00AC3C0F">
              <w:rPr>
                <w:rFonts w:hint="eastAsia"/>
                <w:b/>
              </w:rPr>
              <w:t>ttributes</w:t>
            </w:r>
          </w:p>
        </w:tc>
      </w:tr>
      <w:tr w:rsidR="00961B67" w:rsidTr="00AD0A08">
        <w:tc>
          <w:tcPr>
            <w:tcW w:w="2693" w:type="dxa"/>
          </w:tcPr>
          <w:p w:rsidR="00961B67" w:rsidRPr="00854827" w:rsidRDefault="00961B67" w:rsidP="00066EEF">
            <w:pPr>
              <w:spacing w:line="240" w:lineRule="auto"/>
            </w:pPr>
            <w:r>
              <w:rPr>
                <w:rFonts w:hint="eastAsia"/>
              </w:rPr>
              <w:t>interfaces/</w:t>
            </w:r>
            <w:r>
              <w:t>interface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dynamic-rate-control</w:t>
            </w:r>
          </w:p>
        </w:tc>
        <w:tc>
          <w:tcPr>
            <w:tcW w:w="1843" w:type="dxa"/>
            <w:vMerge w:val="restart"/>
          </w:tcPr>
          <w:p w:rsidR="00961B67" w:rsidRDefault="00961B67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3118" w:type="dxa"/>
            <w:vMerge w:val="restart"/>
          </w:tcPr>
          <w:p w:rsidR="00961B67" w:rsidRDefault="00961B67" w:rsidP="00066EEF">
            <w:pPr>
              <w:spacing w:line="240" w:lineRule="auto"/>
            </w:pPr>
            <w:proofErr w:type="spellStart"/>
            <w:r w:rsidRPr="00F04918">
              <w:t>aRateControlAbility</w:t>
            </w:r>
            <w:proofErr w:type="spellEnd"/>
          </w:p>
        </w:tc>
      </w:tr>
      <w:tr w:rsidR="00961B67" w:rsidTr="00AD0A08">
        <w:tc>
          <w:tcPr>
            <w:tcW w:w="2693" w:type="dxa"/>
            <w:tcBorders>
              <w:bottom w:val="single" w:sz="4" w:space="0" w:color="auto"/>
            </w:tcBorders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/capability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61B67" w:rsidRPr="00F5436F" w:rsidRDefault="00961B67" w:rsidP="00066EEF">
            <w:pPr>
              <w:spacing w:line="240" w:lineRule="auto"/>
            </w:pPr>
            <w:r>
              <w:rPr>
                <w:rFonts w:hint="eastAsia"/>
              </w:rPr>
              <w:t>dynamic-rate-control-supported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61B67" w:rsidRDefault="00961B67" w:rsidP="00066EEF">
            <w:pPr>
              <w:spacing w:line="240" w:lineRule="auto"/>
            </w:pPr>
          </w:p>
        </w:tc>
      </w:tr>
      <w:tr w:rsidR="000B6C5B" w:rsidTr="00AD0A08">
        <w:tc>
          <w:tcPr>
            <w:tcW w:w="2693" w:type="dxa"/>
            <w:vMerge w:val="restart"/>
          </w:tcPr>
          <w:p w:rsidR="000B6C5B" w:rsidRDefault="000B6C5B" w:rsidP="00066EEF">
            <w:pPr>
              <w:spacing w:line="240" w:lineRule="auto"/>
            </w:pPr>
            <w:r>
              <w:rPr>
                <w:rFonts w:hint="eastAsia"/>
              </w:rPr>
              <w:t>interfaces-state/interface/ethernet/frame-statistics/csmacd{csma-cd}</w:t>
            </w:r>
          </w:p>
        </w:tc>
        <w:tc>
          <w:tcPr>
            <w:tcW w:w="3403" w:type="dxa"/>
          </w:tcPr>
          <w:p w:rsidR="000B6C5B" w:rsidRPr="008F748B" w:rsidRDefault="000B6C5B" w:rsidP="00066EEF">
            <w:pPr>
              <w:spacing w:line="240" w:lineRule="auto"/>
            </w:pPr>
            <w:r>
              <w:rPr>
                <w:rFonts w:hint="eastAsia"/>
              </w:rPr>
              <w:t>in-errors-</w:t>
            </w:r>
            <w:proofErr w:type="spellStart"/>
            <w:r>
              <w:rPr>
                <w:rFonts w:hint="eastAsia"/>
              </w:rPr>
              <w:t>sqe</w:t>
            </w:r>
            <w:proofErr w:type="spellEnd"/>
            <w:r>
              <w:rPr>
                <w:rFonts w:hint="eastAsia"/>
              </w:rPr>
              <w:t>-test</w:t>
            </w:r>
          </w:p>
        </w:tc>
        <w:tc>
          <w:tcPr>
            <w:tcW w:w="1843" w:type="dxa"/>
          </w:tcPr>
          <w:p w:rsidR="000B6C5B" w:rsidRDefault="000B6C5B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oPHYEntity</w:t>
            </w:r>
            <w:proofErr w:type="spellEnd"/>
          </w:p>
        </w:tc>
        <w:tc>
          <w:tcPr>
            <w:tcW w:w="3118" w:type="dxa"/>
          </w:tcPr>
          <w:p w:rsidR="000B6C5B" w:rsidRDefault="000B6C5B" w:rsidP="00066EEF">
            <w:pPr>
              <w:spacing w:line="240" w:lineRule="auto"/>
            </w:pPr>
            <w:proofErr w:type="spellStart"/>
            <w:r w:rsidRPr="00770ECB">
              <w:t>aSQETestErrors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Pr="00E84ABD" w:rsidRDefault="00961B67" w:rsidP="00066EEF">
            <w:pPr>
              <w:spacing w:line="240" w:lineRule="auto"/>
            </w:pPr>
            <w:r>
              <w:t>out-</w:t>
            </w:r>
            <w:proofErr w:type="spellStart"/>
            <w:r>
              <w:t>pkts</w:t>
            </w:r>
            <w:proofErr w:type="spellEnd"/>
            <w:r>
              <w:t>-collision-single</w:t>
            </w:r>
          </w:p>
        </w:tc>
        <w:tc>
          <w:tcPr>
            <w:tcW w:w="1843" w:type="dxa"/>
            <w:vMerge w:val="restart"/>
          </w:tcPr>
          <w:p w:rsidR="00961B67" w:rsidRDefault="00961B67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aSingleCollisionFrames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out-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  <w:r>
              <w:rPr>
                <w:rFonts w:hint="eastAsia"/>
              </w:rPr>
              <w:t>-collision-multiple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aMultipleCollisionFrames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Pr="00D311AE" w:rsidRDefault="00961B67" w:rsidP="00066EEF">
            <w:pPr>
              <w:spacing w:line="240" w:lineRule="auto"/>
            </w:pPr>
            <w:r>
              <w:t>out-</w:t>
            </w:r>
            <w:proofErr w:type="spellStart"/>
            <w:r>
              <w:t>pkts</w:t>
            </w:r>
            <w:proofErr w:type="spellEnd"/>
            <w:r>
              <w:t>-deferred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aFramesWithDeferredXmissions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t>out-</w:t>
            </w:r>
            <w:proofErr w:type="spellStart"/>
            <w:r>
              <w:t>pkts</w:t>
            </w:r>
            <w:proofErr w:type="spellEnd"/>
            <w:r>
              <w:t>-collisions-excessive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aFramesAbortedDueToXSColls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t>out-c</w:t>
            </w:r>
            <w:r>
              <w:rPr>
                <w:rFonts w:hint="eastAsia"/>
              </w:rPr>
              <w:t>ollisions-late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aLateCollisions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out-errors-carrier-sense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aCarrierSenseErrors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collision-histogram/collision-count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  <w:vMerge w:val="restart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aCollisionFrames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Pr="00D311AE" w:rsidRDefault="00961B67" w:rsidP="00066EEF">
            <w:pPr>
              <w:spacing w:line="240" w:lineRule="auto"/>
            </w:pPr>
            <w:r>
              <w:rPr>
                <w:rFonts w:hint="eastAsia"/>
              </w:rPr>
              <w:t>collision-histogram/collision-count-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  <w:vMerge/>
          </w:tcPr>
          <w:p w:rsidR="00961B67" w:rsidRDefault="00961B67" w:rsidP="00066EEF">
            <w:pPr>
              <w:spacing w:line="240" w:lineRule="auto"/>
            </w:pPr>
          </w:p>
        </w:tc>
      </w:tr>
    </w:tbl>
    <w:p w:rsidR="00E765A3" w:rsidRDefault="00E765A3" w:rsidP="00E765A3"/>
    <w:p w:rsidR="00E765A3" w:rsidRDefault="00E765A3" w:rsidP="00E765A3"/>
    <w:p w:rsidR="00170C5A" w:rsidRPr="00C24898" w:rsidRDefault="00170C5A" w:rsidP="00170C5A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C24898">
        <w:rPr>
          <w:rFonts w:hint="eastAsia"/>
          <w:b/>
        </w:rPr>
        <w:t xml:space="preserve">Module </w:t>
      </w:r>
      <w:r w:rsidRPr="00C24898">
        <w:rPr>
          <w:b/>
        </w:rPr>
        <w:t>definition</w:t>
      </w:r>
    </w:p>
    <w:p w:rsidR="00170C5A" w:rsidRPr="001E7966" w:rsidRDefault="009C321F" w:rsidP="00170C5A">
      <w:pPr>
        <w:pStyle w:val="3"/>
        <w:numPr>
          <w:ilvl w:val="0"/>
          <w:numId w:val="0"/>
        </w:numPr>
        <w:ind w:leftChars="50" w:left="105" w:firstLineChars="50" w:firstLine="120"/>
        <w:rPr>
          <w:b/>
        </w:rPr>
      </w:pPr>
      <w:r>
        <w:rPr>
          <w:rFonts w:hint="eastAsia"/>
          <w:b/>
        </w:rPr>
        <w:t>[</w:t>
      </w:r>
      <w:proofErr w:type="gramStart"/>
      <w:r w:rsidRPr="009C321F">
        <w:rPr>
          <w:b/>
        </w:rPr>
        <w:t>wilton_3cf_01a_0317.txt</w:t>
      </w:r>
      <w:proofErr w:type="gramEnd"/>
      <w:r>
        <w:rPr>
          <w:rFonts w:hint="eastAsia"/>
          <w:b/>
        </w:rPr>
        <w:t xml:space="preserve"> and </w:t>
      </w:r>
      <w:r w:rsidRPr="009C321F">
        <w:rPr>
          <w:b/>
        </w:rPr>
        <w:t>wilton_3cf_02a_0317.txt</w:t>
      </w:r>
      <w:r>
        <w:rPr>
          <w:rFonts w:hint="eastAsia"/>
          <w:b/>
        </w:rPr>
        <w:t>]</w:t>
      </w:r>
      <w:r w:rsidR="00170C5A" w:rsidRPr="001E7966">
        <w:rPr>
          <w:rFonts w:hint="eastAsia"/>
          <w:b/>
        </w:rPr>
        <w:t xml:space="preserve">Tree </w:t>
      </w:r>
      <w:r w:rsidR="00170C5A" w:rsidRPr="001E7966">
        <w:rPr>
          <w:b/>
        </w:rPr>
        <w:t>hierarchy</w:t>
      </w:r>
    </w:p>
    <w:p w:rsidR="00170C5A" w:rsidRPr="00B558AC" w:rsidRDefault="009C321F" w:rsidP="00170C5A">
      <w:pPr>
        <w:pStyle w:val="3"/>
        <w:numPr>
          <w:ilvl w:val="0"/>
          <w:numId w:val="0"/>
        </w:numPr>
        <w:ind w:leftChars="50" w:left="105" w:firstLineChars="50" w:firstLine="120"/>
        <w:rPr>
          <w:b/>
        </w:rPr>
      </w:pPr>
      <w:r>
        <w:rPr>
          <w:rFonts w:hint="eastAsia"/>
          <w:b/>
        </w:rPr>
        <w:t>[</w:t>
      </w:r>
      <w:r w:rsidRPr="009C321F">
        <w:rPr>
          <w:b/>
        </w:rPr>
        <w:t>wilton_3cf_03a_0317.txt</w:t>
      </w:r>
      <w:bookmarkStart w:id="0" w:name="_GoBack"/>
      <w:bookmarkEnd w:id="0"/>
      <w:r>
        <w:rPr>
          <w:rFonts w:hint="eastAsia"/>
          <w:b/>
        </w:rPr>
        <w:t xml:space="preserve">] </w:t>
      </w:r>
      <w:r w:rsidR="00170C5A" w:rsidRPr="00B558AC">
        <w:rPr>
          <w:rFonts w:hint="eastAsia"/>
          <w:b/>
        </w:rPr>
        <w:t>YANG module definition</w:t>
      </w:r>
    </w:p>
    <w:p w:rsidR="00941BF8" w:rsidRPr="00170C5A" w:rsidRDefault="00941BF8"/>
    <w:sectPr w:rsidR="00941BF8" w:rsidRPr="00170C5A" w:rsidSect="001D0DA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145344" w15:done="0"/>
  <w15:commentEx w15:paraId="50CB1811" w15:done="0"/>
  <w15:commentEx w15:paraId="1A671F24" w15:done="0"/>
  <w15:commentEx w15:paraId="01226F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CF" w:rsidRDefault="00C951CF">
      <w:r>
        <w:separator/>
      </w:r>
    </w:p>
  </w:endnote>
  <w:endnote w:type="continuationSeparator" w:id="0">
    <w:p w:rsidR="00C951CF" w:rsidRDefault="00C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A" w:rsidRDefault="001D0DAA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A" w:rsidRDefault="001D0DAA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CF" w:rsidRDefault="00C951CF">
      <w:r>
        <w:separator/>
      </w:r>
    </w:p>
  </w:footnote>
  <w:footnote w:type="continuationSeparator" w:id="0">
    <w:p w:rsidR="00C951CF" w:rsidRDefault="00C9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A" w:rsidRDefault="001D0DAA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A" w:rsidRDefault="001D0DAA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DAA"/>
    <w:rsid w:val="000003B1"/>
    <w:rsid w:val="00006086"/>
    <w:rsid w:val="000173EC"/>
    <w:rsid w:val="00034FE8"/>
    <w:rsid w:val="00047E2E"/>
    <w:rsid w:val="000A5308"/>
    <w:rsid w:val="000A7531"/>
    <w:rsid w:val="000B07C4"/>
    <w:rsid w:val="000B6C5B"/>
    <w:rsid w:val="000C6ABD"/>
    <w:rsid w:val="000E269C"/>
    <w:rsid w:val="00105B44"/>
    <w:rsid w:val="00110C35"/>
    <w:rsid w:val="001325FD"/>
    <w:rsid w:val="00154456"/>
    <w:rsid w:val="00157275"/>
    <w:rsid w:val="00165ABB"/>
    <w:rsid w:val="00170C5A"/>
    <w:rsid w:val="001A43FD"/>
    <w:rsid w:val="001D0DAA"/>
    <w:rsid w:val="001D1758"/>
    <w:rsid w:val="001E6168"/>
    <w:rsid w:val="001F1D50"/>
    <w:rsid w:val="001F38BD"/>
    <w:rsid w:val="0022574D"/>
    <w:rsid w:val="0025674C"/>
    <w:rsid w:val="002B7C8E"/>
    <w:rsid w:val="002E32FE"/>
    <w:rsid w:val="002E556B"/>
    <w:rsid w:val="0031553C"/>
    <w:rsid w:val="00335881"/>
    <w:rsid w:val="00337547"/>
    <w:rsid w:val="003435D4"/>
    <w:rsid w:val="00355590"/>
    <w:rsid w:val="00356097"/>
    <w:rsid w:val="0036535D"/>
    <w:rsid w:val="00367C78"/>
    <w:rsid w:val="003812FB"/>
    <w:rsid w:val="003A31F7"/>
    <w:rsid w:val="003B3AE2"/>
    <w:rsid w:val="003D075D"/>
    <w:rsid w:val="004100B7"/>
    <w:rsid w:val="00447077"/>
    <w:rsid w:val="00463C07"/>
    <w:rsid w:val="00471948"/>
    <w:rsid w:val="00486650"/>
    <w:rsid w:val="00491058"/>
    <w:rsid w:val="004A61F6"/>
    <w:rsid w:val="004B1AA6"/>
    <w:rsid w:val="004B3A60"/>
    <w:rsid w:val="004E3334"/>
    <w:rsid w:val="00504CB5"/>
    <w:rsid w:val="005418A7"/>
    <w:rsid w:val="005436A3"/>
    <w:rsid w:val="00544B81"/>
    <w:rsid w:val="00557161"/>
    <w:rsid w:val="00570B4F"/>
    <w:rsid w:val="005C0DE4"/>
    <w:rsid w:val="005C79A8"/>
    <w:rsid w:val="005D285B"/>
    <w:rsid w:val="0060319C"/>
    <w:rsid w:val="00624A85"/>
    <w:rsid w:val="0065176F"/>
    <w:rsid w:val="00657A13"/>
    <w:rsid w:val="0066637A"/>
    <w:rsid w:val="006A1D1E"/>
    <w:rsid w:val="006E427E"/>
    <w:rsid w:val="0071036E"/>
    <w:rsid w:val="00713F25"/>
    <w:rsid w:val="00733841"/>
    <w:rsid w:val="00736E36"/>
    <w:rsid w:val="00736F8F"/>
    <w:rsid w:val="007525B8"/>
    <w:rsid w:val="007549C3"/>
    <w:rsid w:val="00767F87"/>
    <w:rsid w:val="00770ECB"/>
    <w:rsid w:val="007716DE"/>
    <w:rsid w:val="00771D74"/>
    <w:rsid w:val="007A54A3"/>
    <w:rsid w:val="007A788F"/>
    <w:rsid w:val="007C4972"/>
    <w:rsid w:val="00867310"/>
    <w:rsid w:val="00875D82"/>
    <w:rsid w:val="008835AF"/>
    <w:rsid w:val="008A3D12"/>
    <w:rsid w:val="008D3915"/>
    <w:rsid w:val="008F2F4C"/>
    <w:rsid w:val="008F748B"/>
    <w:rsid w:val="0090321B"/>
    <w:rsid w:val="009062B6"/>
    <w:rsid w:val="00913B03"/>
    <w:rsid w:val="009412CC"/>
    <w:rsid w:val="00941BF8"/>
    <w:rsid w:val="00961B67"/>
    <w:rsid w:val="00967749"/>
    <w:rsid w:val="00967A2E"/>
    <w:rsid w:val="009C321F"/>
    <w:rsid w:val="009D7223"/>
    <w:rsid w:val="009E46C7"/>
    <w:rsid w:val="00A07929"/>
    <w:rsid w:val="00A13D37"/>
    <w:rsid w:val="00A3727A"/>
    <w:rsid w:val="00A51F56"/>
    <w:rsid w:val="00A97AE8"/>
    <w:rsid w:val="00AA5DDE"/>
    <w:rsid w:val="00AB0366"/>
    <w:rsid w:val="00AC0E03"/>
    <w:rsid w:val="00AC3C0F"/>
    <w:rsid w:val="00AC4319"/>
    <w:rsid w:val="00AD0A08"/>
    <w:rsid w:val="00AD77CA"/>
    <w:rsid w:val="00B03442"/>
    <w:rsid w:val="00B1532D"/>
    <w:rsid w:val="00B175A0"/>
    <w:rsid w:val="00B51E64"/>
    <w:rsid w:val="00B54706"/>
    <w:rsid w:val="00B60509"/>
    <w:rsid w:val="00B7401C"/>
    <w:rsid w:val="00B83CAD"/>
    <w:rsid w:val="00B90ACA"/>
    <w:rsid w:val="00BA3DA3"/>
    <w:rsid w:val="00BE74F6"/>
    <w:rsid w:val="00C452E9"/>
    <w:rsid w:val="00C64A8D"/>
    <w:rsid w:val="00C67BFF"/>
    <w:rsid w:val="00C87E11"/>
    <w:rsid w:val="00C951CF"/>
    <w:rsid w:val="00CD0C47"/>
    <w:rsid w:val="00CD4021"/>
    <w:rsid w:val="00CE49A6"/>
    <w:rsid w:val="00D020BD"/>
    <w:rsid w:val="00D2679C"/>
    <w:rsid w:val="00D311AE"/>
    <w:rsid w:val="00D33D91"/>
    <w:rsid w:val="00D402C3"/>
    <w:rsid w:val="00D41309"/>
    <w:rsid w:val="00D435DA"/>
    <w:rsid w:val="00D43DA1"/>
    <w:rsid w:val="00D5187C"/>
    <w:rsid w:val="00D724F5"/>
    <w:rsid w:val="00D84761"/>
    <w:rsid w:val="00D954FA"/>
    <w:rsid w:val="00DA1B8D"/>
    <w:rsid w:val="00DB4C30"/>
    <w:rsid w:val="00DD17FB"/>
    <w:rsid w:val="00DD2D65"/>
    <w:rsid w:val="00DE542B"/>
    <w:rsid w:val="00E04151"/>
    <w:rsid w:val="00E13A22"/>
    <w:rsid w:val="00E13F31"/>
    <w:rsid w:val="00E350AF"/>
    <w:rsid w:val="00E52618"/>
    <w:rsid w:val="00E53B83"/>
    <w:rsid w:val="00E72B68"/>
    <w:rsid w:val="00E765A3"/>
    <w:rsid w:val="00E84ABD"/>
    <w:rsid w:val="00EA3C32"/>
    <w:rsid w:val="00EC63B0"/>
    <w:rsid w:val="00ED0D43"/>
    <w:rsid w:val="00ED370C"/>
    <w:rsid w:val="00F01A99"/>
    <w:rsid w:val="00F04918"/>
    <w:rsid w:val="00F121D9"/>
    <w:rsid w:val="00F3000D"/>
    <w:rsid w:val="00F3707D"/>
    <w:rsid w:val="00F5436F"/>
    <w:rsid w:val="00F57ED5"/>
    <w:rsid w:val="00F61EB3"/>
    <w:rsid w:val="00F76DB0"/>
    <w:rsid w:val="00F84900"/>
    <w:rsid w:val="00FB2D5E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0DAA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1D0DAA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1D0DAA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1D0DAA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1D0DA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1D0DA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1D0DA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1D0DAA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1D0DA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1D0DA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1D0DA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1D0DA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1D0DA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1D0DAA"/>
  </w:style>
  <w:style w:type="paragraph" w:customStyle="1" w:styleId="ad">
    <w:name w:val="注示头"/>
    <w:basedOn w:val="a1"/>
    <w:rsid w:val="001D0DAA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1D0DAA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1D0DA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1D0DAA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1D0DA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1D0DAA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1D0DA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1D0DAA"/>
    <w:rPr>
      <w:snapToGrid w:val="0"/>
      <w:sz w:val="18"/>
      <w:szCs w:val="18"/>
    </w:rPr>
  </w:style>
  <w:style w:type="character" w:styleId="af4">
    <w:name w:val="annotation reference"/>
    <w:basedOn w:val="a2"/>
    <w:rsid w:val="00A13D37"/>
    <w:rPr>
      <w:sz w:val="21"/>
      <w:szCs w:val="21"/>
    </w:rPr>
  </w:style>
  <w:style w:type="paragraph" w:styleId="af5">
    <w:name w:val="annotation text"/>
    <w:basedOn w:val="a1"/>
    <w:link w:val="Char0"/>
    <w:rsid w:val="00A13D37"/>
  </w:style>
  <w:style w:type="character" w:customStyle="1" w:styleId="Char0">
    <w:name w:val="批注文字 Char"/>
    <w:basedOn w:val="a2"/>
    <w:link w:val="af5"/>
    <w:rsid w:val="00A13D37"/>
    <w:rPr>
      <w:snapToGrid w:val="0"/>
      <w:sz w:val="21"/>
      <w:szCs w:val="21"/>
    </w:rPr>
  </w:style>
  <w:style w:type="paragraph" w:styleId="af6">
    <w:name w:val="annotation subject"/>
    <w:basedOn w:val="af5"/>
    <w:next w:val="af5"/>
    <w:link w:val="Char1"/>
    <w:rsid w:val="00A13D37"/>
    <w:rPr>
      <w:b/>
      <w:bCs/>
    </w:rPr>
  </w:style>
  <w:style w:type="character" w:customStyle="1" w:styleId="Char1">
    <w:name w:val="批注主题 Char"/>
    <w:basedOn w:val="Char0"/>
    <w:link w:val="af6"/>
    <w:rsid w:val="00A13D37"/>
    <w:rPr>
      <w:b/>
      <w:bCs/>
      <w:snapToGrid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DEFC-33E2-4F02-92AB-1397196E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Zhuangyan (Yan)</dc:creator>
  <cp:keywords/>
  <dc:description/>
  <cp:lastModifiedBy>Yan</cp:lastModifiedBy>
  <cp:revision>22</cp:revision>
  <dcterms:created xsi:type="dcterms:W3CDTF">2017-03-10T13:24:00Z</dcterms:created>
  <dcterms:modified xsi:type="dcterms:W3CDTF">2017-03-13T21:32:00Z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(2)3/P+ARlg9kk7IELG2CQNQ2pzgCBt5SnB+b8rZGc2AMEQ7eenx8GPrgOTd+LGG7sudnvk43SA
fzYGI7wkCgf4++ZEYwxZFEjo2RZr2M34j9WEeK53EZkJh2GsjxomVdXf4yiNw+Z9TxZ4T2IU
rc2CBHF0kJsqcZfdRli4O1DYAZL6W2c8tiQRwXEawV0kWQswyIt852UXwVwX3lbzIlNwxMUw
vpfESbELf5JktEaG5K</vt:lpwstr>
  </property>
  <property fmtid="{D5CDD505-2E9C-101B-9397-08002B2CF9AE}" pid="7" name="_2015_ms_pID_7253431">
    <vt:lpwstr>Ih+ccIb0ON5YQTKbzyyL1c3piEy/eUMldU6qGO43bagqYUvran/qWI
yM2rd1eI6w841TPrprq+NF7PJYVilJwrNrlXyHviIUhD0VFwoG5ozk4PMg59IpaEWraBF7Fp
6Lw+4jcTwUUtciYJbbzvRpa3GMiNZQr5/QkdtAa8ZHIx7hJsQg8BoUXBRMbQN+R0R5QYsM9t
UfkE2MeAWcyju9aS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1489361120</vt:lpwstr>
  </property>
</Properties>
</file>